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1454478b0413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38671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CENTAR ZA ODGOJ, OBRAZOVANJE I REHABILITACIJU KRIŽEVCI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841.027,83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916.579,83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921.625,79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913.738,58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2.841,25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403,75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2.841,25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Financijski plan Centra za odgoj, obrazovanje i rehabilitaciju Križevci za 2026. godinu i projekcije za 2027. i 2028. godinu usvojio je 05.11.2025. Školski odbor Centra za odgoj, obrazovanje i rehabilitaciju Križevci na 11. sjednici Školskog odbora s ukupnim planom prihoda i primitaka te rashoda i izdataka za 2026. godinu u iznosu 1.789.055,00 eura.</w:t>
      </w:r>
    </w:p>
    <w:p>
      <w:r>
        <w:t xml:space="preserve">Po izradi Godišnjeg financijskog izvještaja za 2025. godinu utvrđeno je da Proračun Centra za odgoj, obrazovanje i rehabilitaciju Križevci u 2026. godinu prenosi manjak prihoda i primitaka u iznosu 114.096,65 eura.</w:t>
      </w:r>
    </w:p>
    <w:p>
      <w:r>
        <w:t xml:space="preserve">Ukupno ostvareni prihodi i primici Centra za odgoj, obrazovanje i rehabilitaciju Križevci u razdoblju od 01. siječnja do 30. lipnja 2025. godine iznose 916.579,83 eura a rashodi i izdaci u razdoblju siječanj-lipanj 2026. godine iznosili su 913.738,58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841.027,83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916.579,83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109,0</w:t>
            </w:r>
          </w:p>
        </w:tc>
      </w:tr>
    </w:tbl>
    <w:p>
      <w:pPr>
        <w:spacing w:before="0" w:after="0"/>
      </w:pPr>
    </w:p>
    <w:p>
      <w:r>
        <w:t xml:space="preserve">Prihodi poslovanja veći su za 9 % a realizirani su u skladu sa financijskim planom uz manja odstupanja, najvecim dijelom zbog poskupljhenja usluga i materijala.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614.139,92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681.147,57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110,9</w:t>
            </w:r>
          </w:p>
        </w:tc>
      </w:tr>
    </w:tbl>
    <w:p>
      <w:pPr>
        <w:spacing w:before="0" w:after="0"/>
      </w:pPr>
    </w:p>
    <w:p>
      <w:r>
        <w:t xml:space="preserve">Ostvarene su tekuće pomoći iz državnog proračuna za isplatu plaća, doprinosa, naknade za prijevoz na posao i s posla, ostalih materijalnih prava zaposlenicima, sredstva za sufinanciranje troškova prehrane učenika, nabavu udžbenika radnog karaktera, mjernih instrumenata (psiho-dijagnostičkih sredstva) u svrhu procjene funkcioniranja učenika, didaktiku za školu i vrtić te prijevoz učenika i pratitelja.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614.139,92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681.147,57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110,9</w:t>
            </w:r>
          </w:p>
        </w:tc>
      </w:tr>
    </w:tbl>
    <w:p>
      <w:pPr>
        <w:spacing w:before="0" w:after="0"/>
      </w:pPr>
    </w:p>
    <w:p>
      <w:r>
        <w:t xml:space="preserve">Povećanje prihoda u odnosu na isto razdoblje prošle godine odnosi se na poskupljenje usluga prijevoza za učenike i pratitelje.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2.946,20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7.504,45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254,7</w:t>
            </w:r>
          </w:p>
        </w:tc>
      </w:tr>
    </w:tbl>
    <w:p>
      <w:pPr>
        <w:spacing w:before="0" w:after="0"/>
      </w:pPr>
    </w:p>
    <w:p>
      <w:r>
        <w:t xml:space="preserve">Prihodi od roditelja za  prehranu u vrtiću i školi.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2.946,20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7.504,45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254,7</w:t>
            </w:r>
          </w:p>
        </w:tc>
      </w:tr>
    </w:tbl>
    <w:p>
      <w:pPr>
        <w:spacing w:before="0" w:after="0"/>
      </w:pPr>
    </w:p>
    <w:p>
      <w:r>
        <w:t xml:space="preserve">Prihodi od roditelja za  prehranu u vrtiću i školi. Iznos je veći od prošlogodišnjih prihoda a prema broju upisane djece.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2,2</w:t>
            </w:r>
          </w:p>
        </w:tc>
      </w:tr>
    </w:tbl>
    <w:p>
      <w:pPr>
        <w:spacing w:before="0" w:after="0"/>
      </w:pPr>
    </w:p>
    <w:p>
      <w:r>
        <w:t xml:space="preserve">Prihodi su manji a odnose se na prodaju proizvoda školske zadruge.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Ovi prihodi odnose se na primljene donacije za organizaciju i obilježavanje proslave 20. godišnjice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223.239,71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225.462,14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101,0</w:t>
            </w:r>
          </w:p>
        </w:tc>
      </w:tr>
    </w:tbl>
    <w:p>
      <w:pPr>
        <w:spacing w:before="0" w:after="0"/>
      </w:pPr>
    </w:p>
    <w:p>
      <w:r>
        <w:t xml:space="preserve">Prihodi iz nadležnog proračuna za financiranje rashoda poslovanja ostvareni ) ostvareni su za 1 % više u odnosu na isto razdoblje prošle godine. Prihodi su ostvareni sukladno financijskom planu i osigurali su financiranje redovnog poslovanja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647.162,32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638.981,52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98,7</w:t>
            </w:r>
          </w:p>
        </w:tc>
      </w:tr>
    </w:tbl>
    <w:p>
      <w:pPr>
        <w:spacing w:before="0" w:after="0"/>
      </w:pPr>
    </w:p>
    <w:p>
      <w:r>
        <w:t xml:space="preserve">U razdoblju od 01. siječnja do 30. lipnja 2026. Rashodi za plaće realizirani su u skladu s financijskim planom.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21.700,36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22.682,16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104,5</w:t>
            </w:r>
          </w:p>
        </w:tc>
      </w:tr>
    </w:tbl>
    <w:p>
      <w:pPr>
        <w:spacing w:before="0" w:after="0"/>
      </w:pPr>
    </w:p>
    <w:p>
      <w:r>
        <w:t xml:space="preserve">Rashodi su realizirani su za 4,52 % više u odnosu na prošlogodišnje izvještajno razdoblje, prema ostvarenim službenim putovanjima i stvarnim troškovima prijevoza na posao i s posla.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1.590,38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2.393,12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150,5</w:t>
            </w:r>
          </w:p>
        </w:tc>
      </w:tr>
    </w:tbl>
    <w:p>
      <w:pPr>
        <w:spacing w:before="0" w:after="0"/>
      </w:pPr>
    </w:p>
    <w:p>
      <w:r>
        <w:t xml:space="preserve">Povećanje rashoda za stručna usavršavanja rezultat je većeg broja edukacija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6.581,06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7.515,03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114,2</w:t>
            </w:r>
          </w:p>
        </w:tc>
      </w:tr>
    </w:tbl>
    <w:p>
      <w:pPr>
        <w:spacing w:before="0" w:after="0"/>
      </w:pPr>
    </w:p>
    <w:p>
      <w:r>
        <w:t xml:space="preserve">Povećani rashodi rezultat su obilježavanja 20. godišnjice Centra, za što je utrošena veća količina didaktičkog materijala te sredstava za čišćenje i uređenje prostora.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5.343,84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6.941,51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129,9</w:t>
            </w:r>
          </w:p>
        </w:tc>
      </w:tr>
    </w:tbl>
    <w:p>
      <w:pPr>
        <w:spacing w:before="0" w:after="0"/>
      </w:pPr>
    </w:p>
    <w:p>
      <w:r>
        <w:t xml:space="preserve">Povećanje troškova energije zbog više realiziranih rashoda za električnu energiju i plin.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6.476,59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435,64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6,7</w:t>
            </w:r>
          </w:p>
        </w:tc>
      </w:tr>
    </w:tbl>
    <w:p>
      <w:pPr>
        <w:spacing w:before="0" w:after="0"/>
      </w:pPr>
    </w:p>
    <w:p>
      <w:r>
        <w:t xml:space="preserve">Manje realizirani  rashodi za materijal za tekuće i investicijsko održavanje u odnosu na prethodnu godinu rezultat je prošlogodišnje  zamjene rasvjetnih tijela radi uštede energije te ugradnje protuprovalnog sustava.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180,28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481,34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267,0</w:t>
            </w:r>
          </w:p>
        </w:tc>
      </w:tr>
    </w:tbl>
    <w:p>
      <w:pPr>
        <w:spacing w:before="0" w:after="0"/>
      </w:pPr>
    </w:p>
    <w:p>
      <w:r>
        <w:t xml:space="preserve">Rashodi su veći u odnosu na prethodnu godinu zbog nabave dodatnog sitnog inventara za potrebe vrtića, uključujući kutije za pohranu i stalke.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75.159,36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86.396,85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115,0</w:t>
            </w:r>
          </w:p>
        </w:tc>
      </w:tr>
    </w:tbl>
    <w:p>
      <w:pPr>
        <w:spacing w:before="0" w:after="0"/>
      </w:pPr>
    </w:p>
    <w:p>
      <w:r>
        <w:t xml:space="preserve">Povećanje rashoda u odnosu na prethodnu godinu najvećim je dijelom posljedica porasta cijena goriva, što je uzrokovalo veće troškove prijevoza učenika s teškoćama i njihovih pratitelja.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10.927,95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5.355,90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49,0</w:t>
            </w:r>
          </w:p>
        </w:tc>
      </w:tr>
    </w:tbl>
    <w:p>
      <w:pPr>
        <w:spacing w:before="0" w:after="0"/>
      </w:pPr>
    </w:p>
    <w:p>
      <w:r>
        <w:t xml:space="preserve">Manje realizirani  rashodi za usluge tekućeg i investicijskog održavanja u odnosu na prethodnu godinu rezultat je prošlogodišnje  zamjene rasvjetnih tijela radi uštede energije te ugradnje protuprovalnog sustava.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1.627,33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126,9</w:t>
            </w:r>
          </w:p>
        </w:tc>
      </w:tr>
    </w:tbl>
    <w:p>
      <w:pPr>
        <w:spacing w:before="0" w:after="0"/>
      </w:pPr>
    </w:p>
    <w:p>
      <w:r>
        <w:t xml:space="preserve">Rashodi se odnose na opskrbu vodom, odvoz otpada i ostale komunalne usluge. Povećanje rashoda u odnosu na prethodnu godinu rezultat je porasta cijena komunalnih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8.394,77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1.343,15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16,0</w:t>
            </w:r>
          </w:p>
        </w:tc>
      </w:tr>
    </w:tbl>
    <w:p>
      <w:pPr>
        <w:spacing w:before="0" w:after="0"/>
      </w:pPr>
    </w:p>
    <w:p>
      <w:r>
        <w:t xml:space="preserve">Rashodi su manji u odnosu na prethodnu godinu jer su u prethodnoj godini provedeni sistematski pregledi za sve zaposlenike, dok u izvještajnom razdoblju nije bilo tog izdataka.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1.936,73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373,3</w:t>
            </w:r>
          </w:p>
        </w:tc>
      </w:tr>
    </w:tbl>
    <w:p>
      <w:pPr>
        <w:spacing w:before="0" w:after="0"/>
      </w:pPr>
    </w:p>
    <w:p>
      <w:r>
        <w:t xml:space="preserve">Rashodi za računalne usluge veći su u odnosu na prethodno izvještajno razdoblje zbog održavanja novog programa za evidenciju radnih sati te povećanja cijena postojećih usluga održavanja.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1.246,50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za reprezentaciju ostvareni su u izvještajnom razdoblju zbog obilježavanja 20. godišnjice škole, dok u prethodnoj godini navedeni rashodi nisu bili realizirani.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financijski rashodi (šifre 3431 do 3434)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109,6</w:t>
            </w:r>
          </w:p>
        </w:tc>
      </w:tr>
    </w:tbl>
    <w:p>
      <w:pPr>
        <w:spacing w:before="0" w:after="0"/>
      </w:pPr>
    </w:p>
    <w:p>
      <w:r>
        <w:t xml:space="preserve">Ostali financijski rashodi neznatno su povećani u odnosu na isto razdoblje prethodne godine, prvenstveno zbog većih rashoda za kamate, dok su rashodi za bankarske usluge platnog prometa ostali nepromijenjeni.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Zatezne kamate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1242,9</w:t>
            </w:r>
          </w:p>
        </w:tc>
      </w:tr>
    </w:tbl>
    <w:p>
      <w:pPr>
        <w:spacing w:before="0" w:after="0"/>
      </w:pPr>
    </w:p>
    <w:p>
      <w:r>
        <w:t xml:space="preserve">Ovaj rashod odnosi se na zatezne kamate, i neznatno je veći od pršlogodišnjeg iznosa.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kod korisnika na osnovi stanja na početku i na kraju izvještajnog razdoblja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147,4</w:t>
            </w:r>
          </w:p>
        </w:tc>
      </w:tr>
    </w:tbl>
    <w:p>
      <w:pPr>
        <w:spacing w:before="0" w:after="0"/>
      </w:pPr>
    </w:p>
    <w:p>
      <w:r>
        <w:t xml:space="preserve">Povećanje prosječnog broja zaposlenih u odnosu na prethodnu godinu rezultat je uključivanja pomoćnika u nastavi u obračun, a također je povećan broj zaposlenih pomoćnika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10.827,44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Povećanje obveza u izvještajnom razdoblju odnosi se na obveze prema državnom proračunu za bolovanje preko 42 dana.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131.857,33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Iskazano stanje obveza na kraju izvještajnog razdoblja odnosi se na nedospjele obveze u iznosu 131.857,33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nema dospjelih obveza.</w:t>
      </w:r>
    </w:p>
    <w:p>
      <w:r>
        <w:t xml:space="preserve">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fcefb4c2569492b" /></Relationships>
</file>